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C5" w:rsidRDefault="00B479C5" w:rsidP="00B479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:rsidR="00B479C5" w:rsidRDefault="00B479C5" w:rsidP="00B479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07.04.2017. vēstulei Nr.6.16/2</w:t>
      </w:r>
    </w:p>
    <w:p w:rsidR="00B479C5" w:rsidRPr="00011E87" w:rsidRDefault="00B479C5" w:rsidP="00B479C5">
      <w:pPr>
        <w:jc w:val="center"/>
        <w:rPr>
          <w:rFonts w:ascii="Times New Roman" w:hAnsi="Times New Roman"/>
          <w:b/>
          <w:sz w:val="24"/>
          <w:szCs w:val="24"/>
        </w:rPr>
      </w:pPr>
      <w:r w:rsidRPr="00011E87">
        <w:rPr>
          <w:rFonts w:ascii="Times New Roman" w:hAnsi="Times New Roman"/>
          <w:b/>
          <w:sz w:val="24"/>
          <w:szCs w:val="24"/>
        </w:rPr>
        <w:t>Informācija</w:t>
      </w:r>
      <w:r>
        <w:rPr>
          <w:rFonts w:ascii="Times New Roman" w:hAnsi="Times New Roman"/>
          <w:b/>
          <w:sz w:val="24"/>
          <w:szCs w:val="24"/>
        </w:rPr>
        <w:t>s</w:t>
      </w:r>
      <w:r w:rsidRPr="00011E87">
        <w:rPr>
          <w:rFonts w:ascii="Times New Roman" w:hAnsi="Times New Roman"/>
          <w:b/>
          <w:sz w:val="24"/>
          <w:szCs w:val="24"/>
        </w:rPr>
        <w:t xml:space="preserve"> apkopojums par biļešu tirdzniecības izmaksām </w:t>
      </w:r>
      <w:r>
        <w:rPr>
          <w:rFonts w:ascii="Times New Roman" w:hAnsi="Times New Roman"/>
          <w:b/>
          <w:sz w:val="24"/>
          <w:szCs w:val="24"/>
        </w:rPr>
        <w:t xml:space="preserve">un tehnisko aprīkojumu </w:t>
      </w:r>
      <w:r w:rsidRPr="00011E87">
        <w:rPr>
          <w:rFonts w:ascii="Times New Roman" w:hAnsi="Times New Roman"/>
          <w:b/>
          <w:sz w:val="24"/>
          <w:szCs w:val="24"/>
        </w:rPr>
        <w:t>reģionālās nozīmes maršrutos</w:t>
      </w:r>
    </w:p>
    <w:p w:rsidR="00B479C5" w:rsidRDefault="00B479C5" w:rsidP="00B479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479C5" w:rsidRDefault="00B479C5" w:rsidP="00B479C5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/uzņēmuma nosaukums/</w:t>
      </w:r>
    </w:p>
    <w:p w:rsidR="00B479C5" w:rsidRDefault="00B479C5" w:rsidP="00B479C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273"/>
        <w:gridCol w:w="4673"/>
      </w:tblGrid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Informācijas veids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Paskaidrojošā informācija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Attiecīgi skaits vai summa eiro</w:t>
            </w: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Piezīmes</w:t>
            </w:r>
          </w:p>
        </w:tc>
      </w:tr>
      <w:tr w:rsidR="00B479C5" w:rsidTr="00F72DEE">
        <w:tc>
          <w:tcPr>
            <w:tcW w:w="3823" w:type="dxa"/>
            <w:tcBorders>
              <w:bottom w:val="single" w:sz="4" w:space="0" w:color="auto"/>
            </w:tcBorders>
          </w:tcPr>
          <w:p w:rsidR="00B479C5" w:rsidRPr="00A93282" w:rsidRDefault="00B479C5" w:rsidP="00F72DE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B479C5" w:rsidRPr="00A93282" w:rsidRDefault="00B479C5" w:rsidP="00F72DE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B479C5" w:rsidRPr="00A93282" w:rsidRDefault="00B479C5" w:rsidP="00F72DE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3" w:type="dxa"/>
          </w:tcPr>
          <w:p w:rsidR="00B479C5" w:rsidRPr="00A93282" w:rsidRDefault="00B479C5" w:rsidP="00F72DE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479C5" w:rsidTr="00F72DEE">
        <w:tc>
          <w:tcPr>
            <w:tcW w:w="3823" w:type="dxa"/>
            <w:tcBorders>
              <w:bottom w:val="nil"/>
            </w:tcBorders>
          </w:tcPr>
          <w:p w:rsidR="00B479C5" w:rsidRPr="004801E6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801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2016.gadā</w:t>
            </w:r>
            <w:proofErr w:type="gramEnd"/>
            <w:r>
              <w:rPr>
                <w:rFonts w:ascii="Times New Roman" w:hAnsi="Times New Roman"/>
              </w:rPr>
              <w:t xml:space="preserve"> autoostās pārdoto (izsniegto) biļešu skaits: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kopskaits visās autoostās, t.sk.: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Pr="004801E6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801E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801E6">
              <w:rPr>
                <w:rFonts w:ascii="Times New Roman" w:hAnsi="Times New Roman"/>
              </w:rPr>
              <w:t>maksājošie pasažieri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pasažieri ar braukšanas maksas atvieglojumiem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>
              <w:rPr>
                <w:rFonts w:ascii="Times New Roman" w:hAnsi="Times New Roman"/>
              </w:rPr>
              <w:t>2016.gada</w:t>
            </w:r>
            <w:proofErr w:type="gramEnd"/>
            <w:r>
              <w:rPr>
                <w:rFonts w:ascii="Times New Roman" w:hAnsi="Times New Roman"/>
              </w:rPr>
              <w:t xml:space="preserve"> pārdoto biļešu ieņēmumi (eiro) autoostās (katrā autoostā, norādot autoostas nosaukumu tabulas 2.kollonnā) un kolonā “Piezīmes” informāciju par pielīgto biļešu tirdzniecības nodrošināšanas procentu (ja zināms): 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kopā (eiro) visās autoostās, t.sk.: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Pr="00832950" w:rsidRDefault="00B479C5" w:rsidP="00F72DEE">
            <w:pPr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832950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 xml:space="preserve">Autoosta 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Pr="00832950" w:rsidRDefault="00B479C5" w:rsidP="00F72DEE">
            <w:pPr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832950">
              <w:rPr>
                <w:rFonts w:ascii="Times New Roman" w:hAnsi="Times New Roman"/>
                <w:i/>
              </w:rPr>
              <w:t xml:space="preserve">- Autoosta 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2016.gadā</w:t>
            </w:r>
            <w:proofErr w:type="gramEnd"/>
            <w:r>
              <w:rPr>
                <w:rFonts w:ascii="Times New Roman" w:hAnsi="Times New Roman"/>
              </w:rPr>
              <w:t xml:space="preserve"> transportlīdzekļos pārdoto (izsniegto) biļešu skaits: </w:t>
            </w:r>
          </w:p>
        </w:tc>
        <w:tc>
          <w:tcPr>
            <w:tcW w:w="3118" w:type="dxa"/>
          </w:tcPr>
          <w:p w:rsidR="00B479C5" w:rsidRDefault="00B479C5" w:rsidP="00B47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kopskaits vis</w:t>
            </w:r>
            <w:r>
              <w:rPr>
                <w:rFonts w:ascii="Times New Roman" w:hAnsi="Times New Roman"/>
              </w:rPr>
              <w:t>os transportlīdzekļos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 t.sk.: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maksājošie pasažieri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pasažieri ar braukšanas maksas atvieglojumiem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bottom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Transportlīdzeklī izmantojamo kases aparātu skaits (situācija 01.04.2017.), tabulas 2.kollonnā norādot kases aparāta marku un modeli un pēc tam par katru </w:t>
            </w:r>
            <w:r>
              <w:rPr>
                <w:rFonts w:ascii="Times New Roman" w:hAnsi="Times New Roman"/>
              </w:rPr>
              <w:lastRenderedPageBreak/>
              <w:t xml:space="preserve">modeli norādot attiecīgas 1 kases aparāta izmaksas eiro mēnesī. 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  <w:tcBorders>
              <w:top w:val="nil"/>
            </w:tcBorders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Pr="00C73B0B" w:rsidRDefault="00B479C5" w:rsidP="00F72DEE">
            <w:pPr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Modeļa nosaukums (norādīt)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apkalpojošā dienesta noteiktā uzturēšanas maksa 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amortizācijas izmaksas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nomas maksa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papildu programmatūras (piemēram, biļešu informācijas apstrāde) izmaksas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Transportlīdzekļu skaits (situācija 01.04.2017.), kas aprīkoti ar bezskaidras naudas norēķinu pieņemšanas ierīcēm (POS termināli), kolonnā “Piezīmes” norādot sadarbības banku.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Informācija par sabiedrisko transportlīdzekļu GPS/GPRS ierīcēm un to skaitu (situācija 01.04.2017.), kas tiek izmantotas transportlīdzekļos, ailē “Piezīmes” norādot viedokli, vai attiecīgās ierīces var tikt izmantotas Ministru kabineta 11.08.</w:t>
            </w:r>
            <w:proofErr w:type="gramStart"/>
            <w:r>
              <w:rPr>
                <w:rFonts w:ascii="Times New Roman" w:hAnsi="Times New Roman"/>
              </w:rPr>
              <w:t>2015.noteikumos</w:t>
            </w:r>
            <w:proofErr w:type="gramEnd"/>
            <w:r>
              <w:rPr>
                <w:rFonts w:ascii="Times New Roman" w:hAnsi="Times New Roman"/>
              </w:rPr>
              <w:t xml:space="preserve"> Nr.461 “Vienotas sabiedriskā transporta pakalpojumu uzskaites sistēmas izveidošanas, uzturēšanas un attīstīšanas kārtība” noteikto prasību par transportlīdzekļu kustības koordināšu nosūtīšanu izpildei. </w:t>
            </w: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79C5" w:rsidTr="00F72DEE">
        <w:tc>
          <w:tcPr>
            <w:tcW w:w="3823" w:type="dxa"/>
          </w:tcPr>
          <w:p w:rsidR="00B479C5" w:rsidRDefault="00B479C5" w:rsidP="00F72DEE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479C5" w:rsidRDefault="00B479C5" w:rsidP="00F72DE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-Modeļa nosaukums un ražotājs vai izplatītājs (norādīt)</w:t>
            </w:r>
          </w:p>
        </w:tc>
        <w:tc>
          <w:tcPr>
            <w:tcW w:w="22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B479C5" w:rsidRDefault="00B479C5" w:rsidP="00F72D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1BE5" w:rsidRDefault="00311BE5"/>
    <w:sectPr w:rsidR="00311BE5" w:rsidSect="00B479C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5"/>
    <w:rsid w:val="00311BE5"/>
    <w:rsid w:val="004E6E53"/>
    <w:rsid w:val="00B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91A7B3-71D1-4F99-8844-9B1F7C7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C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9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Brice</dc:creator>
  <cp:keywords/>
  <dc:description/>
  <cp:lastModifiedBy>Ilze Brice</cp:lastModifiedBy>
  <cp:revision>1</cp:revision>
  <dcterms:created xsi:type="dcterms:W3CDTF">2017-04-12T06:06:00Z</dcterms:created>
  <dcterms:modified xsi:type="dcterms:W3CDTF">2017-04-12T06:07:00Z</dcterms:modified>
</cp:coreProperties>
</file>