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87C" w:rsidRPr="00DA0482" w:rsidRDefault="00D0687C" w:rsidP="00D0687C">
      <w:pPr>
        <w:jc w:val="center"/>
      </w:pPr>
      <w:r w:rsidRPr="00DA0482">
        <w:t>Valsts sabiedrība ar ierobežotu atbildību "Autotransporta direkcija"</w:t>
      </w:r>
    </w:p>
    <w:p w:rsidR="00D0687C" w:rsidRPr="00DA0482" w:rsidRDefault="00D0687C" w:rsidP="00D0687C">
      <w:pPr>
        <w:jc w:val="center"/>
      </w:pPr>
      <w:r w:rsidRPr="00DA0482">
        <w:t>reģ.Nr.40003429317</w:t>
      </w:r>
    </w:p>
    <w:p w:rsidR="00D0687C" w:rsidRPr="00DA0482" w:rsidRDefault="00D0687C" w:rsidP="00D0687C">
      <w:pPr>
        <w:jc w:val="center"/>
      </w:pPr>
      <w:r w:rsidRPr="00DA0482">
        <w:t>Vaļņu iela 30, Rīga, LV-1050</w:t>
      </w:r>
    </w:p>
    <w:p w:rsidR="005E3BA1" w:rsidRDefault="00D0687C" w:rsidP="00D0687C">
      <w:pPr>
        <w:jc w:val="center"/>
      </w:pPr>
      <w:r w:rsidRPr="00DA0482">
        <w:t xml:space="preserve">Iepirkuma komisijas </w:t>
      </w:r>
    </w:p>
    <w:p w:rsidR="00C92915" w:rsidRDefault="00C92915" w:rsidP="00D0687C">
      <w:pPr>
        <w:jc w:val="center"/>
      </w:pPr>
    </w:p>
    <w:p w:rsidR="00D0687C" w:rsidRPr="005E3BA1" w:rsidRDefault="00C8352A" w:rsidP="00D0687C">
      <w:pPr>
        <w:jc w:val="center"/>
        <w:rPr>
          <w:b/>
        </w:rPr>
      </w:pPr>
      <w:r w:rsidRPr="005E3BA1">
        <w:rPr>
          <w:b/>
        </w:rPr>
        <w:t>LĒMUMS</w:t>
      </w:r>
    </w:p>
    <w:p w:rsidR="005E3BA1" w:rsidRDefault="005E3BA1" w:rsidP="00D0687C">
      <w:pPr>
        <w:jc w:val="center"/>
      </w:pPr>
    </w:p>
    <w:p w:rsidR="005E3BA1" w:rsidRPr="005E3BA1" w:rsidRDefault="005E3BA1" w:rsidP="00D0687C">
      <w:pPr>
        <w:jc w:val="center"/>
        <w:rPr>
          <w:b/>
        </w:rPr>
      </w:pPr>
      <w:r w:rsidRPr="005E3BA1">
        <w:rPr>
          <w:b/>
        </w:rPr>
        <w:t>“Par veselības apdrošināšanas līguma slēgšanu”,</w:t>
      </w:r>
    </w:p>
    <w:p w:rsidR="005E3BA1" w:rsidRPr="005E3BA1" w:rsidRDefault="005E3BA1" w:rsidP="00D0687C">
      <w:pPr>
        <w:jc w:val="center"/>
        <w:rPr>
          <w:b/>
        </w:rPr>
      </w:pPr>
      <w:r w:rsidRPr="005E3BA1">
        <w:rPr>
          <w:b/>
        </w:rPr>
        <w:t xml:space="preserve"> iepirkuma identifikācijas Nr. AD 2017/5</w:t>
      </w:r>
    </w:p>
    <w:p w:rsidR="00D0687C" w:rsidRPr="00DA0482" w:rsidRDefault="00D0687C" w:rsidP="00D0687C"/>
    <w:p w:rsidR="005E3BA1" w:rsidRPr="00DA0482" w:rsidRDefault="005E3BA1" w:rsidP="00D0687C">
      <w:pPr>
        <w:jc w:val="center"/>
      </w:pPr>
    </w:p>
    <w:p w:rsidR="005E3BA1" w:rsidRDefault="005E3BA1" w:rsidP="005E3BA1">
      <w:r>
        <w:t>Rīgā, 2017</w:t>
      </w:r>
      <w:r w:rsidR="00D0687C" w:rsidRPr="00DA0482">
        <w:t xml:space="preserve">. gada </w:t>
      </w:r>
      <w:r>
        <w:t>19</w:t>
      </w:r>
      <w:r w:rsidR="00D0687C" w:rsidRPr="00DA0482">
        <w:t xml:space="preserve">. </w:t>
      </w:r>
      <w:r w:rsidR="00D87FCD">
        <w:t>oktobrī</w:t>
      </w:r>
      <w:r w:rsidR="00D0687C" w:rsidRPr="00DA0482">
        <w:tab/>
      </w:r>
    </w:p>
    <w:p w:rsidR="007076DB" w:rsidRDefault="007076DB" w:rsidP="005E3BA1"/>
    <w:p w:rsidR="007076DB" w:rsidRDefault="007076DB" w:rsidP="007076DB">
      <w:pPr>
        <w:jc w:val="both"/>
      </w:pPr>
      <w:r>
        <w:tab/>
        <w:t>1.</w:t>
      </w:r>
      <w:r w:rsidRPr="007076DB">
        <w:rPr>
          <w:u w:val="single"/>
        </w:rPr>
        <w:t>Pasūtītājs</w:t>
      </w:r>
      <w:r>
        <w:t>: Valsts SIA “Autotransporta direkcija”.</w:t>
      </w:r>
    </w:p>
    <w:p w:rsidR="007076DB" w:rsidRDefault="007076DB" w:rsidP="007076DB">
      <w:pPr>
        <w:jc w:val="both"/>
      </w:pPr>
      <w:r>
        <w:tab/>
        <w:t xml:space="preserve">2. </w:t>
      </w:r>
      <w:r w:rsidRPr="007076DB">
        <w:rPr>
          <w:u w:val="single"/>
        </w:rPr>
        <w:t>Iepirkuma nosaukums un identifikācijas Nr</w:t>
      </w:r>
      <w:r>
        <w:t>.: “Par veselības apdrošināšanas līguma slēgšanu” (identifikācijas Nr. AD2017/5).</w:t>
      </w:r>
    </w:p>
    <w:p w:rsidR="007076DB" w:rsidRDefault="007076DB" w:rsidP="007076DB">
      <w:pPr>
        <w:jc w:val="both"/>
      </w:pPr>
      <w:r>
        <w:tab/>
        <w:t>3.</w:t>
      </w:r>
      <w:r w:rsidRPr="007076DB">
        <w:rPr>
          <w:u w:val="single"/>
        </w:rPr>
        <w:t>Iepirkuma procedūras veids</w:t>
      </w:r>
      <w:r>
        <w:t xml:space="preserve">: iepirkums Publisko iepirkuma likuma </w:t>
      </w:r>
      <w:proofErr w:type="gramStart"/>
      <w:r>
        <w:t>9.panta</w:t>
      </w:r>
      <w:proofErr w:type="gramEnd"/>
      <w:r>
        <w:t xml:space="preserve"> kārtībā.</w:t>
      </w:r>
    </w:p>
    <w:p w:rsidR="005E3BA1" w:rsidRDefault="007076DB" w:rsidP="007076DB">
      <w:pPr>
        <w:jc w:val="both"/>
      </w:pPr>
      <w:r>
        <w:tab/>
        <w:t xml:space="preserve">4. </w:t>
      </w:r>
      <w:r w:rsidRPr="007076DB">
        <w:rPr>
          <w:u w:val="single"/>
        </w:rPr>
        <w:t>Saņemto piedāvājumu skaits</w:t>
      </w:r>
      <w:r>
        <w:t>: 4 (četri)</w:t>
      </w:r>
    </w:p>
    <w:p w:rsidR="007A3379" w:rsidRPr="00F96B03" w:rsidRDefault="007076DB" w:rsidP="007076DB">
      <w:pPr>
        <w:pStyle w:val="ListParagraph"/>
        <w:jc w:val="both"/>
        <w:rPr>
          <w:u w:val="single"/>
        </w:rPr>
      </w:pPr>
      <w:r>
        <w:rPr>
          <w:u w:val="single"/>
        </w:rPr>
        <w:t>5.</w:t>
      </w:r>
      <w:r w:rsidR="005E3BA1" w:rsidRPr="00F96B03">
        <w:rPr>
          <w:u w:val="single"/>
        </w:rPr>
        <w:t>Pretendenta nosaukumi un piedāvātās cenas</w:t>
      </w:r>
      <w:r w:rsidR="00F96B03">
        <w:rPr>
          <w:u w:val="single"/>
        </w:rPr>
        <w:t>:</w:t>
      </w:r>
    </w:p>
    <w:p w:rsidR="007A3379" w:rsidRDefault="007A3379" w:rsidP="007A3379"/>
    <w:tbl>
      <w:tblPr>
        <w:tblW w:w="7338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716"/>
        <w:gridCol w:w="1843"/>
      </w:tblGrid>
      <w:tr w:rsidR="007A3379" w:rsidRPr="00DA0482" w:rsidTr="007A3379">
        <w:tc>
          <w:tcPr>
            <w:tcW w:w="779" w:type="dxa"/>
            <w:shd w:val="clear" w:color="auto" w:fill="auto"/>
          </w:tcPr>
          <w:p w:rsidR="007A3379" w:rsidRPr="00DA0482" w:rsidRDefault="007A3379" w:rsidP="001F035B">
            <w:pPr>
              <w:tabs>
                <w:tab w:val="left" w:pos="4395"/>
              </w:tabs>
              <w:jc w:val="both"/>
            </w:pPr>
            <w:r w:rsidRPr="00DA0482">
              <w:t>1.</w:t>
            </w:r>
          </w:p>
        </w:tc>
        <w:tc>
          <w:tcPr>
            <w:tcW w:w="4716" w:type="dxa"/>
          </w:tcPr>
          <w:p w:rsidR="007A3379" w:rsidRPr="00DA0482" w:rsidRDefault="007A3379" w:rsidP="001F035B">
            <w:pPr>
              <w:tabs>
                <w:tab w:val="left" w:pos="4395"/>
              </w:tabs>
              <w:jc w:val="both"/>
            </w:pPr>
            <w:r>
              <w:t>“</w:t>
            </w:r>
            <w:proofErr w:type="spellStart"/>
            <w:r>
              <w:t>Compensa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Vieena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SE Latvijas filiāle”</w:t>
            </w:r>
          </w:p>
        </w:tc>
        <w:tc>
          <w:tcPr>
            <w:tcW w:w="1843" w:type="dxa"/>
          </w:tcPr>
          <w:p w:rsidR="007A3379" w:rsidRPr="00DA0482" w:rsidRDefault="007A3379" w:rsidP="001F035B">
            <w:pPr>
              <w:tabs>
                <w:tab w:val="left" w:pos="4395"/>
              </w:tabs>
              <w:jc w:val="both"/>
            </w:pPr>
            <w:r>
              <w:t>39271,12 EUR</w:t>
            </w:r>
          </w:p>
        </w:tc>
      </w:tr>
      <w:tr w:rsidR="007A3379" w:rsidRPr="00DA0482" w:rsidTr="007A3379">
        <w:tc>
          <w:tcPr>
            <w:tcW w:w="779" w:type="dxa"/>
            <w:shd w:val="clear" w:color="auto" w:fill="auto"/>
          </w:tcPr>
          <w:p w:rsidR="007A3379" w:rsidRPr="00DA0482" w:rsidRDefault="007A3379" w:rsidP="001F035B">
            <w:pPr>
              <w:tabs>
                <w:tab w:val="left" w:pos="4395"/>
              </w:tabs>
              <w:jc w:val="both"/>
            </w:pPr>
            <w:r w:rsidRPr="00DA0482">
              <w:t>2.</w:t>
            </w:r>
          </w:p>
        </w:tc>
        <w:tc>
          <w:tcPr>
            <w:tcW w:w="4716" w:type="dxa"/>
          </w:tcPr>
          <w:p w:rsidR="007A3379" w:rsidRPr="00DA0482" w:rsidRDefault="007A3379" w:rsidP="001F035B">
            <w:pPr>
              <w:tabs>
                <w:tab w:val="left" w:pos="4395"/>
              </w:tabs>
              <w:jc w:val="both"/>
            </w:pPr>
            <w:r>
              <w:t>“Baltijas Apdrošināšanas Nams” AAS</w:t>
            </w:r>
          </w:p>
        </w:tc>
        <w:tc>
          <w:tcPr>
            <w:tcW w:w="1843" w:type="dxa"/>
          </w:tcPr>
          <w:p w:rsidR="007A3379" w:rsidRPr="00DA0482" w:rsidRDefault="007A3379" w:rsidP="001F035B">
            <w:pPr>
              <w:tabs>
                <w:tab w:val="left" w:pos="4395"/>
              </w:tabs>
              <w:jc w:val="both"/>
            </w:pPr>
            <w:r>
              <w:t>39192,00 EUR</w:t>
            </w:r>
          </w:p>
        </w:tc>
      </w:tr>
      <w:tr w:rsidR="007A3379" w:rsidRPr="00DA0482" w:rsidTr="007A3379">
        <w:tc>
          <w:tcPr>
            <w:tcW w:w="779" w:type="dxa"/>
            <w:shd w:val="clear" w:color="auto" w:fill="auto"/>
          </w:tcPr>
          <w:p w:rsidR="007A3379" w:rsidRPr="00DA0482" w:rsidRDefault="007A3379" w:rsidP="001F035B">
            <w:pPr>
              <w:tabs>
                <w:tab w:val="left" w:pos="4395"/>
              </w:tabs>
              <w:jc w:val="both"/>
            </w:pPr>
            <w:r w:rsidRPr="00DA0482">
              <w:t>3.</w:t>
            </w:r>
          </w:p>
        </w:tc>
        <w:tc>
          <w:tcPr>
            <w:tcW w:w="4716" w:type="dxa"/>
          </w:tcPr>
          <w:p w:rsidR="007A3379" w:rsidRPr="00DA0482" w:rsidRDefault="007A3379" w:rsidP="001F035B">
            <w:pPr>
              <w:tabs>
                <w:tab w:val="left" w:pos="4395"/>
              </w:tabs>
              <w:jc w:val="both"/>
            </w:pPr>
            <w:r>
              <w:t xml:space="preserve">“ERGO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SE Latvijas filiāle”</w:t>
            </w:r>
          </w:p>
        </w:tc>
        <w:tc>
          <w:tcPr>
            <w:tcW w:w="1843" w:type="dxa"/>
          </w:tcPr>
          <w:p w:rsidR="007A3379" w:rsidRPr="00DA0482" w:rsidRDefault="007A3379" w:rsidP="001F035B">
            <w:pPr>
              <w:tabs>
                <w:tab w:val="left" w:pos="4395"/>
              </w:tabs>
              <w:jc w:val="both"/>
            </w:pPr>
            <w:r>
              <w:t>39269,28 EUR</w:t>
            </w:r>
          </w:p>
        </w:tc>
      </w:tr>
      <w:tr w:rsidR="007A3379" w:rsidRPr="00DA0482" w:rsidTr="007A3379">
        <w:tc>
          <w:tcPr>
            <w:tcW w:w="779" w:type="dxa"/>
            <w:shd w:val="clear" w:color="auto" w:fill="auto"/>
          </w:tcPr>
          <w:p w:rsidR="007A3379" w:rsidRPr="00DA0482" w:rsidRDefault="007A3379" w:rsidP="001F035B">
            <w:pPr>
              <w:tabs>
                <w:tab w:val="left" w:pos="4395"/>
              </w:tabs>
              <w:jc w:val="both"/>
            </w:pPr>
            <w:r w:rsidRPr="00DA0482">
              <w:t>4.</w:t>
            </w:r>
          </w:p>
        </w:tc>
        <w:tc>
          <w:tcPr>
            <w:tcW w:w="4716" w:type="dxa"/>
          </w:tcPr>
          <w:p w:rsidR="007A3379" w:rsidRPr="00DA0482" w:rsidRDefault="007A3379" w:rsidP="001F035B">
            <w:pPr>
              <w:tabs>
                <w:tab w:val="left" w:pos="4395"/>
              </w:tabs>
              <w:jc w:val="both"/>
            </w:pPr>
            <w:r>
              <w:t xml:space="preserve">“BTA </w:t>
            </w:r>
            <w:proofErr w:type="spellStart"/>
            <w:r>
              <w:t>Baltic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>” AAS</w:t>
            </w:r>
          </w:p>
        </w:tc>
        <w:tc>
          <w:tcPr>
            <w:tcW w:w="1843" w:type="dxa"/>
          </w:tcPr>
          <w:p w:rsidR="007A3379" w:rsidRPr="00DA0482" w:rsidRDefault="007A3379" w:rsidP="001F035B">
            <w:pPr>
              <w:tabs>
                <w:tab w:val="left" w:pos="4395"/>
              </w:tabs>
              <w:jc w:val="both"/>
            </w:pPr>
            <w:r>
              <w:t>39192,00 EUR</w:t>
            </w:r>
          </w:p>
        </w:tc>
      </w:tr>
    </w:tbl>
    <w:p w:rsidR="00F96B03" w:rsidRDefault="00D0687C" w:rsidP="007A3379">
      <w:r w:rsidRPr="00DA0482">
        <w:tab/>
      </w:r>
      <w:r w:rsidRPr="00DA0482">
        <w:tab/>
      </w:r>
      <w:r w:rsidR="002F3CB7" w:rsidRPr="00DA0482">
        <w:t xml:space="preserve">            </w:t>
      </w:r>
    </w:p>
    <w:p w:rsidR="00F96B03" w:rsidRDefault="007076DB" w:rsidP="007076DB">
      <w:pPr>
        <w:pStyle w:val="ListParagraph"/>
      </w:pPr>
      <w:proofErr w:type="gramStart"/>
      <w:r>
        <w:rPr>
          <w:u w:val="single"/>
        </w:rPr>
        <w:t>6.</w:t>
      </w:r>
      <w:r w:rsidR="008B4C77" w:rsidRPr="008B4C77">
        <w:rPr>
          <w:u w:val="single"/>
        </w:rPr>
        <w:t>Noraidītie pretendenti</w:t>
      </w:r>
      <w:proofErr w:type="gramEnd"/>
      <w:r w:rsidR="008B4C77" w:rsidRPr="008B4C77">
        <w:rPr>
          <w:u w:val="single"/>
        </w:rPr>
        <w:t xml:space="preserve"> un noraidīšanas iemesli</w:t>
      </w:r>
      <w:r w:rsidR="008B4C77">
        <w:t>: nav.</w:t>
      </w:r>
    </w:p>
    <w:p w:rsidR="007076DB" w:rsidRDefault="007076DB" w:rsidP="007076DB">
      <w:pPr>
        <w:pStyle w:val="ListParagraph"/>
      </w:pPr>
    </w:p>
    <w:p w:rsidR="008B4C77" w:rsidRDefault="007076DB" w:rsidP="007076DB">
      <w:pPr>
        <w:pStyle w:val="ListParagraph"/>
      </w:pPr>
      <w:r>
        <w:rPr>
          <w:u w:val="single"/>
        </w:rPr>
        <w:t>7.</w:t>
      </w:r>
      <w:r w:rsidR="008B4C77" w:rsidRPr="008B4C77">
        <w:rPr>
          <w:u w:val="single"/>
        </w:rPr>
        <w:t>Piedāvājuma izvēles un vērtēšanas kritēriji</w:t>
      </w:r>
      <w:r w:rsidR="008B4C77">
        <w:t>:</w:t>
      </w:r>
    </w:p>
    <w:p w:rsidR="00966B62" w:rsidRDefault="00966B62" w:rsidP="00966B62">
      <w:pPr>
        <w:pStyle w:val="ListParagraph"/>
      </w:pPr>
    </w:p>
    <w:p w:rsidR="00137417" w:rsidRDefault="00966B62" w:rsidP="00966B62">
      <w:pPr>
        <w:ind w:firstLine="360"/>
        <w:jc w:val="both"/>
      </w:pPr>
      <w:r>
        <w:t>Piedāvājuma izvēles kritērijs ir saimnieciski izdevīgākais piedāvājums – piedāvājums, kas atbilst nolikumā izvirzītajām prasībām un ieguvis vislielāko punktu skaitu.</w:t>
      </w:r>
    </w:p>
    <w:p w:rsidR="00966B62" w:rsidRDefault="00966B62" w:rsidP="00966B62">
      <w:pPr>
        <w:ind w:firstLine="360"/>
        <w:jc w:val="both"/>
      </w:pPr>
    </w:p>
    <w:tbl>
      <w:tblPr>
        <w:tblpPr w:leftFromText="180" w:rightFromText="180" w:vertAnchor="text" w:horzAnchor="margin" w:tblpY="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2700"/>
      </w:tblGrid>
      <w:tr w:rsidR="00706ABD" w:rsidRPr="00D753E0" w:rsidTr="001F035B">
        <w:trPr>
          <w:tblHeader/>
        </w:trPr>
        <w:tc>
          <w:tcPr>
            <w:tcW w:w="6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6ABD" w:rsidRPr="00D753E0" w:rsidRDefault="00706ABD" w:rsidP="001F035B">
            <w:pPr>
              <w:ind w:right="34"/>
              <w:jc w:val="center"/>
            </w:pPr>
            <w:proofErr w:type="spellStart"/>
            <w:r w:rsidRPr="00D753E0">
              <w:t>Nr.p.k</w:t>
            </w:r>
            <w:proofErr w:type="spellEnd"/>
            <w:r w:rsidRPr="00D753E0">
              <w:t>.</w:t>
            </w:r>
          </w:p>
        </w:tc>
        <w:tc>
          <w:tcPr>
            <w:tcW w:w="540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6ABD" w:rsidRPr="00D753E0" w:rsidRDefault="00706ABD" w:rsidP="001F035B">
            <w:pPr>
              <w:ind w:right="34"/>
              <w:jc w:val="center"/>
            </w:pPr>
            <w:r w:rsidRPr="00D753E0">
              <w:t>Vērtēšanas kritēriji</w:t>
            </w:r>
          </w:p>
        </w:tc>
        <w:tc>
          <w:tcPr>
            <w:tcW w:w="270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6ABD" w:rsidRPr="00D753E0" w:rsidRDefault="00706ABD" w:rsidP="001F035B">
            <w:pPr>
              <w:ind w:right="34"/>
              <w:jc w:val="center"/>
            </w:pPr>
            <w:r w:rsidRPr="00D753E0">
              <w:t>Maksimāli iespējamais punktu skaits (Z)</w:t>
            </w:r>
            <w:proofErr w:type="gramStart"/>
            <w:r w:rsidRPr="00D753E0">
              <w:t xml:space="preserve">  </w:t>
            </w:r>
            <w:proofErr w:type="gramEnd"/>
          </w:p>
        </w:tc>
      </w:tr>
      <w:tr w:rsidR="00706ABD" w:rsidRPr="00D753E0" w:rsidTr="001F035B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706ABD" w:rsidRPr="00D753E0" w:rsidRDefault="00706ABD" w:rsidP="001F035B">
            <w:pPr>
              <w:ind w:right="34"/>
              <w:jc w:val="center"/>
            </w:pPr>
            <w:r w:rsidRPr="00D753E0">
              <w:t>1.</w:t>
            </w:r>
          </w:p>
        </w:tc>
        <w:tc>
          <w:tcPr>
            <w:tcW w:w="5400" w:type="dxa"/>
            <w:tcBorders>
              <w:left w:val="nil"/>
              <w:right w:val="single" w:sz="12" w:space="0" w:color="auto"/>
            </w:tcBorders>
            <w:vAlign w:val="center"/>
          </w:tcPr>
          <w:p w:rsidR="00706ABD" w:rsidRPr="00D753E0" w:rsidRDefault="00706ABD" w:rsidP="001F035B">
            <w:pPr>
              <w:pStyle w:val="naisf"/>
              <w:spacing w:before="0" w:after="0"/>
              <w:ind w:right="34"/>
            </w:pPr>
            <w:r w:rsidRPr="00D753E0">
              <w:t>Apdrošināšanas segums</w:t>
            </w:r>
          </w:p>
        </w:tc>
        <w:tc>
          <w:tcPr>
            <w:tcW w:w="2700" w:type="dxa"/>
            <w:tcBorders>
              <w:left w:val="nil"/>
              <w:right w:val="single" w:sz="12" w:space="0" w:color="auto"/>
            </w:tcBorders>
            <w:vAlign w:val="center"/>
          </w:tcPr>
          <w:p w:rsidR="00706ABD" w:rsidRPr="00D753E0" w:rsidRDefault="00706ABD" w:rsidP="001F035B">
            <w:pPr>
              <w:ind w:right="34"/>
              <w:jc w:val="center"/>
            </w:pPr>
            <w:r>
              <w:t>52</w:t>
            </w:r>
          </w:p>
        </w:tc>
      </w:tr>
      <w:tr w:rsidR="00706ABD" w:rsidRPr="00D753E0" w:rsidTr="001F035B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706ABD" w:rsidRPr="00D753E0" w:rsidRDefault="00706ABD" w:rsidP="001F035B">
            <w:pPr>
              <w:ind w:right="34"/>
              <w:jc w:val="center"/>
            </w:pPr>
            <w:r w:rsidRPr="00D753E0">
              <w:t>2.</w:t>
            </w:r>
          </w:p>
        </w:tc>
        <w:tc>
          <w:tcPr>
            <w:tcW w:w="5400" w:type="dxa"/>
            <w:tcBorders>
              <w:left w:val="nil"/>
              <w:right w:val="single" w:sz="12" w:space="0" w:color="auto"/>
            </w:tcBorders>
            <w:vAlign w:val="center"/>
          </w:tcPr>
          <w:p w:rsidR="00706ABD" w:rsidRPr="00D753E0" w:rsidRDefault="00706ABD" w:rsidP="001F035B">
            <w:pPr>
              <w:pStyle w:val="PlainTex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753E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Programmas par pasūtītāja līdzekļiem </w:t>
            </w:r>
          </w:p>
          <w:p w:rsidR="00706ABD" w:rsidRPr="00D753E0" w:rsidRDefault="00706ABD" w:rsidP="001F035B">
            <w:pPr>
              <w:pStyle w:val="Heading4"/>
              <w:spacing w:before="0" w:after="0"/>
              <w:ind w:right="3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53E0">
              <w:rPr>
                <w:rFonts w:ascii="Times New Roman" w:hAnsi="Times New Roman"/>
                <w:sz w:val="24"/>
                <w:szCs w:val="24"/>
              </w:rPr>
              <w:t>apdrošinājuma summas Polises darbības termiņa laikā</w:t>
            </w:r>
          </w:p>
        </w:tc>
        <w:tc>
          <w:tcPr>
            <w:tcW w:w="2700" w:type="dxa"/>
            <w:tcBorders>
              <w:left w:val="nil"/>
              <w:right w:val="single" w:sz="12" w:space="0" w:color="auto"/>
            </w:tcBorders>
            <w:vAlign w:val="center"/>
          </w:tcPr>
          <w:p w:rsidR="00706ABD" w:rsidRPr="00D753E0" w:rsidRDefault="00706ABD" w:rsidP="001F035B">
            <w:pPr>
              <w:ind w:right="34"/>
              <w:jc w:val="center"/>
            </w:pPr>
            <w:r w:rsidRPr="00D753E0">
              <w:t>30</w:t>
            </w:r>
          </w:p>
        </w:tc>
      </w:tr>
      <w:tr w:rsidR="00706ABD" w:rsidRPr="00D753E0" w:rsidTr="001F035B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706ABD" w:rsidRPr="00D753E0" w:rsidRDefault="00706ABD" w:rsidP="001F035B">
            <w:pPr>
              <w:ind w:right="34"/>
              <w:jc w:val="center"/>
            </w:pPr>
            <w:r w:rsidRPr="00D753E0">
              <w:t>3.</w:t>
            </w:r>
          </w:p>
        </w:tc>
        <w:tc>
          <w:tcPr>
            <w:tcW w:w="5400" w:type="dxa"/>
            <w:tcBorders>
              <w:left w:val="nil"/>
              <w:right w:val="single" w:sz="12" w:space="0" w:color="auto"/>
            </w:tcBorders>
            <w:vAlign w:val="center"/>
          </w:tcPr>
          <w:p w:rsidR="00706ABD" w:rsidRPr="00D753E0" w:rsidRDefault="00706ABD" w:rsidP="001F035B">
            <w:pPr>
              <w:pStyle w:val="Heading4"/>
              <w:spacing w:before="0" w:after="0"/>
              <w:ind w:right="3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53E0">
              <w:rPr>
                <w:rFonts w:ascii="Times New Roman" w:hAnsi="Times New Roman"/>
                <w:sz w:val="24"/>
                <w:szCs w:val="24"/>
              </w:rPr>
              <w:t>Polises funkcionalitātes (izmantošanas ērtuma) nosacījumi</w:t>
            </w:r>
          </w:p>
        </w:tc>
        <w:tc>
          <w:tcPr>
            <w:tcW w:w="2700" w:type="dxa"/>
            <w:tcBorders>
              <w:left w:val="nil"/>
              <w:right w:val="single" w:sz="12" w:space="0" w:color="auto"/>
            </w:tcBorders>
            <w:vAlign w:val="center"/>
          </w:tcPr>
          <w:p w:rsidR="00706ABD" w:rsidRPr="00D753E0" w:rsidRDefault="00706ABD" w:rsidP="001F035B">
            <w:pPr>
              <w:ind w:right="34"/>
              <w:jc w:val="center"/>
            </w:pPr>
            <w:r>
              <w:t>18</w:t>
            </w:r>
          </w:p>
        </w:tc>
      </w:tr>
      <w:tr w:rsidR="00706ABD" w:rsidRPr="00D753E0" w:rsidTr="001F035B">
        <w:trPr>
          <w:cantSplit/>
        </w:trPr>
        <w:tc>
          <w:tcPr>
            <w:tcW w:w="60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6ABD" w:rsidRPr="00D753E0" w:rsidRDefault="00706ABD" w:rsidP="001F035B">
            <w:pPr>
              <w:pStyle w:val="Heading4"/>
              <w:spacing w:before="0" w:after="0"/>
              <w:ind w:right="34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53E0">
              <w:rPr>
                <w:rFonts w:ascii="Times New Roman" w:hAnsi="Times New Roman"/>
                <w:b w:val="0"/>
                <w:sz w:val="24"/>
                <w:szCs w:val="24"/>
              </w:rPr>
              <w:t>Maksimāli iespējamais kopējais punktu skaits: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06ABD" w:rsidRPr="00D753E0" w:rsidRDefault="00706ABD" w:rsidP="001F035B">
            <w:pPr>
              <w:ind w:right="34"/>
              <w:jc w:val="center"/>
            </w:pPr>
            <w:r w:rsidRPr="00D753E0">
              <w:t>100</w:t>
            </w:r>
          </w:p>
        </w:tc>
      </w:tr>
    </w:tbl>
    <w:p w:rsidR="00706ABD" w:rsidRDefault="00706ABD" w:rsidP="00966B62">
      <w:pPr>
        <w:ind w:firstLine="360"/>
        <w:jc w:val="both"/>
      </w:pPr>
    </w:p>
    <w:p w:rsidR="007E6DF5" w:rsidRDefault="007E6DF5" w:rsidP="00966B62">
      <w:pPr>
        <w:ind w:firstLine="36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1908"/>
        <w:gridCol w:w="1314"/>
        <w:gridCol w:w="1132"/>
        <w:gridCol w:w="1483"/>
        <w:gridCol w:w="1175"/>
        <w:gridCol w:w="994"/>
      </w:tblGrid>
      <w:tr w:rsidR="005514A1" w:rsidTr="001F035B">
        <w:tc>
          <w:tcPr>
            <w:tcW w:w="516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 w:rsidRPr="000F701D">
              <w:rPr>
                <w:bCs/>
                <w:sz w:val="20"/>
              </w:rPr>
              <w:t>Nr. p.k.</w:t>
            </w:r>
          </w:p>
        </w:tc>
        <w:tc>
          <w:tcPr>
            <w:tcW w:w="1908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 w:rsidRPr="000F701D">
              <w:rPr>
                <w:bCs/>
                <w:sz w:val="20"/>
              </w:rPr>
              <w:t>Novērtēšanas kritērijs</w:t>
            </w:r>
          </w:p>
        </w:tc>
        <w:tc>
          <w:tcPr>
            <w:tcW w:w="1314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 w:rsidRPr="000F701D">
              <w:rPr>
                <w:bCs/>
                <w:sz w:val="20"/>
              </w:rPr>
              <w:t>Maksimālais iespējamais punktu skaits</w:t>
            </w:r>
          </w:p>
        </w:tc>
        <w:tc>
          <w:tcPr>
            <w:tcW w:w="1132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 w:rsidRPr="000F701D">
              <w:rPr>
                <w:bCs/>
                <w:sz w:val="20"/>
              </w:rPr>
              <w:t xml:space="preserve">Ergo </w:t>
            </w:r>
            <w:proofErr w:type="spellStart"/>
            <w:r w:rsidRPr="000F701D">
              <w:rPr>
                <w:bCs/>
                <w:sz w:val="20"/>
              </w:rPr>
              <w:t>Life</w:t>
            </w:r>
            <w:proofErr w:type="spellEnd"/>
            <w:r w:rsidRPr="000F701D">
              <w:rPr>
                <w:bCs/>
                <w:sz w:val="20"/>
              </w:rPr>
              <w:t xml:space="preserve"> </w:t>
            </w:r>
            <w:proofErr w:type="spellStart"/>
            <w:r w:rsidRPr="000F701D">
              <w:rPr>
                <w:bCs/>
                <w:sz w:val="20"/>
              </w:rPr>
              <w:t>Insurance</w:t>
            </w:r>
            <w:proofErr w:type="spellEnd"/>
            <w:r w:rsidRPr="000F701D">
              <w:rPr>
                <w:bCs/>
                <w:sz w:val="20"/>
              </w:rPr>
              <w:t xml:space="preserve"> SE </w:t>
            </w:r>
            <w:r w:rsidRPr="000F701D">
              <w:rPr>
                <w:bCs/>
                <w:sz w:val="20"/>
              </w:rPr>
              <w:lastRenderedPageBreak/>
              <w:t>Latvijas Filiāle</w:t>
            </w:r>
          </w:p>
        </w:tc>
        <w:tc>
          <w:tcPr>
            <w:tcW w:w="1483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AAS </w:t>
            </w:r>
            <w:proofErr w:type="spellStart"/>
            <w:r>
              <w:rPr>
                <w:bCs/>
                <w:sz w:val="20"/>
              </w:rPr>
              <w:t>Balstijas</w:t>
            </w:r>
            <w:proofErr w:type="spellEnd"/>
            <w:r>
              <w:rPr>
                <w:bCs/>
                <w:sz w:val="20"/>
              </w:rPr>
              <w:t xml:space="preserve"> Apdrošināšanas Nams</w:t>
            </w:r>
          </w:p>
        </w:tc>
        <w:tc>
          <w:tcPr>
            <w:tcW w:w="1175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Compensa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Life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Vienna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lastRenderedPageBreak/>
              <w:t>Insurance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Group</w:t>
            </w:r>
            <w:proofErr w:type="spellEnd"/>
            <w:r>
              <w:rPr>
                <w:bCs/>
                <w:sz w:val="20"/>
              </w:rPr>
              <w:t xml:space="preserve"> SE Latvijas Filiāle</w:t>
            </w:r>
          </w:p>
        </w:tc>
        <w:tc>
          <w:tcPr>
            <w:tcW w:w="994" w:type="dxa"/>
          </w:tcPr>
          <w:p w:rsidR="005514A1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AAS BTA </w:t>
            </w:r>
            <w:proofErr w:type="spellStart"/>
            <w:r>
              <w:rPr>
                <w:bCs/>
                <w:sz w:val="20"/>
              </w:rPr>
              <w:t>Baltic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lastRenderedPageBreak/>
              <w:t>Insurance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Company</w:t>
            </w:r>
            <w:proofErr w:type="spellEnd"/>
          </w:p>
        </w:tc>
      </w:tr>
      <w:tr w:rsidR="005514A1" w:rsidTr="001F035B">
        <w:tc>
          <w:tcPr>
            <w:tcW w:w="516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 w:rsidRPr="000F701D">
              <w:rPr>
                <w:bCs/>
                <w:sz w:val="20"/>
              </w:rPr>
              <w:lastRenderedPageBreak/>
              <w:t>1.</w:t>
            </w:r>
          </w:p>
        </w:tc>
        <w:tc>
          <w:tcPr>
            <w:tcW w:w="1908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 w:rsidRPr="000F701D">
              <w:rPr>
                <w:bCs/>
                <w:sz w:val="20"/>
              </w:rPr>
              <w:t>Apdrošināšanas segums</w:t>
            </w:r>
          </w:p>
        </w:tc>
        <w:tc>
          <w:tcPr>
            <w:tcW w:w="1314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52</w:t>
            </w:r>
          </w:p>
        </w:tc>
        <w:tc>
          <w:tcPr>
            <w:tcW w:w="1132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51.48</w:t>
            </w:r>
          </w:p>
        </w:tc>
        <w:tc>
          <w:tcPr>
            <w:tcW w:w="1483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43.09</w:t>
            </w:r>
          </w:p>
        </w:tc>
        <w:tc>
          <w:tcPr>
            <w:tcW w:w="1175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27.51</w:t>
            </w:r>
          </w:p>
        </w:tc>
        <w:tc>
          <w:tcPr>
            <w:tcW w:w="994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25.39</w:t>
            </w:r>
          </w:p>
        </w:tc>
      </w:tr>
      <w:tr w:rsidR="005514A1" w:rsidTr="001F035B">
        <w:tc>
          <w:tcPr>
            <w:tcW w:w="516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 w:rsidRPr="000F701D">
              <w:rPr>
                <w:bCs/>
                <w:sz w:val="20"/>
              </w:rPr>
              <w:t>2.</w:t>
            </w:r>
          </w:p>
        </w:tc>
        <w:tc>
          <w:tcPr>
            <w:tcW w:w="1908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 w:rsidRPr="000F701D">
              <w:rPr>
                <w:bCs/>
                <w:sz w:val="20"/>
              </w:rPr>
              <w:t>Programmas par pasūtītāja līdzekļiem apdrošinājuma summas Polises darbības termiņa laikā.</w:t>
            </w:r>
          </w:p>
        </w:tc>
        <w:tc>
          <w:tcPr>
            <w:tcW w:w="1314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 w:rsidRPr="000F701D">
              <w:rPr>
                <w:bCs/>
                <w:sz w:val="20"/>
              </w:rPr>
              <w:t>30</w:t>
            </w:r>
          </w:p>
        </w:tc>
        <w:tc>
          <w:tcPr>
            <w:tcW w:w="1132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25.85</w:t>
            </w:r>
          </w:p>
        </w:tc>
        <w:tc>
          <w:tcPr>
            <w:tcW w:w="1483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23.36</w:t>
            </w:r>
          </w:p>
        </w:tc>
        <w:tc>
          <w:tcPr>
            <w:tcW w:w="1175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9.52</w:t>
            </w:r>
          </w:p>
        </w:tc>
        <w:tc>
          <w:tcPr>
            <w:tcW w:w="994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11.40</w:t>
            </w:r>
          </w:p>
        </w:tc>
      </w:tr>
      <w:tr w:rsidR="005514A1" w:rsidTr="001F035B">
        <w:tc>
          <w:tcPr>
            <w:tcW w:w="516" w:type="dxa"/>
            <w:tcBorders>
              <w:bottom w:val="single" w:sz="4" w:space="0" w:color="auto"/>
            </w:tcBorders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 w:rsidRPr="000F701D">
              <w:rPr>
                <w:bCs/>
                <w:sz w:val="20"/>
              </w:rPr>
              <w:t xml:space="preserve">3. 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 w:rsidRPr="000F701D">
              <w:rPr>
                <w:bCs/>
                <w:sz w:val="20"/>
              </w:rPr>
              <w:t>Polises funkcionalitātes (izmantošanas ērtuma) nosacījumi.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</w:t>
            </w:r>
          </w:p>
        </w:tc>
        <w:tc>
          <w:tcPr>
            <w:tcW w:w="1132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7.84</w:t>
            </w:r>
          </w:p>
        </w:tc>
        <w:tc>
          <w:tcPr>
            <w:tcW w:w="1483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15.90</w:t>
            </w:r>
          </w:p>
        </w:tc>
        <w:tc>
          <w:tcPr>
            <w:tcW w:w="1175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5.67</w:t>
            </w:r>
          </w:p>
        </w:tc>
        <w:tc>
          <w:tcPr>
            <w:tcW w:w="994" w:type="dxa"/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18.00</w:t>
            </w:r>
          </w:p>
        </w:tc>
      </w:tr>
      <w:tr w:rsidR="005514A1" w:rsidTr="001F035B">
        <w:tc>
          <w:tcPr>
            <w:tcW w:w="516" w:type="dxa"/>
            <w:tcBorders>
              <w:right w:val="nil"/>
            </w:tcBorders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</w:p>
        </w:tc>
        <w:tc>
          <w:tcPr>
            <w:tcW w:w="1908" w:type="dxa"/>
            <w:tcBorders>
              <w:left w:val="nil"/>
              <w:right w:val="nil"/>
            </w:tcBorders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Kopā iegūto punktu skaits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514A1" w:rsidRPr="000F701D" w:rsidRDefault="005514A1" w:rsidP="001F035B">
            <w:pPr>
              <w:pStyle w:val="BodyText"/>
              <w:spacing w:line="36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132" w:type="dxa"/>
          </w:tcPr>
          <w:p w:rsidR="005514A1" w:rsidRPr="00A43DD7" w:rsidRDefault="005514A1" w:rsidP="001F035B">
            <w:pPr>
              <w:pStyle w:val="BodyText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85.17</w:t>
            </w:r>
          </w:p>
        </w:tc>
        <w:tc>
          <w:tcPr>
            <w:tcW w:w="1483" w:type="dxa"/>
          </w:tcPr>
          <w:p w:rsidR="005514A1" w:rsidRPr="00A43DD7" w:rsidRDefault="005514A1" w:rsidP="001F035B">
            <w:pPr>
              <w:pStyle w:val="BodyText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82.35</w:t>
            </w:r>
          </w:p>
        </w:tc>
        <w:tc>
          <w:tcPr>
            <w:tcW w:w="1175" w:type="dxa"/>
          </w:tcPr>
          <w:p w:rsidR="005514A1" w:rsidRPr="00A43DD7" w:rsidRDefault="005514A1" w:rsidP="001F035B">
            <w:pPr>
              <w:pStyle w:val="BodyText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42.70</w:t>
            </w:r>
          </w:p>
        </w:tc>
        <w:tc>
          <w:tcPr>
            <w:tcW w:w="994" w:type="dxa"/>
          </w:tcPr>
          <w:p w:rsidR="005514A1" w:rsidRPr="00A43DD7" w:rsidRDefault="005514A1" w:rsidP="001F035B">
            <w:pPr>
              <w:pStyle w:val="BodyText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54.79</w:t>
            </w:r>
          </w:p>
        </w:tc>
      </w:tr>
    </w:tbl>
    <w:p w:rsidR="007E6DF5" w:rsidRPr="00DA0482" w:rsidRDefault="007E6DF5" w:rsidP="00966B62">
      <w:pPr>
        <w:ind w:firstLine="360"/>
        <w:jc w:val="both"/>
      </w:pPr>
    </w:p>
    <w:p w:rsidR="00C561CC" w:rsidRPr="005514A1" w:rsidRDefault="007076DB" w:rsidP="007076DB">
      <w:pPr>
        <w:pStyle w:val="BodyText"/>
        <w:spacing w:line="360" w:lineRule="auto"/>
        <w:rPr>
          <w:u w:val="single"/>
        </w:rPr>
      </w:pPr>
      <w:r>
        <w:rPr>
          <w:szCs w:val="24"/>
          <w:u w:val="single"/>
        </w:rPr>
        <w:t>8.</w:t>
      </w:r>
      <w:r w:rsidR="005514A1" w:rsidRPr="005514A1">
        <w:rPr>
          <w:szCs w:val="24"/>
          <w:u w:val="single"/>
        </w:rPr>
        <w:t>Pretendenta nosaukums, ar kuru nolemts slēgt iepirkuma līgumu un pamatojums piedāvājuma izvēlei:</w:t>
      </w:r>
    </w:p>
    <w:p w:rsidR="00DC1829" w:rsidRDefault="00DC1829" w:rsidP="005514A1">
      <w:pPr>
        <w:spacing w:line="360" w:lineRule="auto"/>
        <w:jc w:val="both"/>
      </w:pPr>
    </w:p>
    <w:p w:rsidR="005514A1" w:rsidRPr="00DA0482" w:rsidRDefault="005514A1" w:rsidP="005514A1">
      <w:pPr>
        <w:tabs>
          <w:tab w:val="left" w:pos="4395"/>
        </w:tabs>
        <w:jc w:val="both"/>
      </w:pPr>
      <w:r>
        <w:t xml:space="preserve">Pamatojoties uz nolikuma </w:t>
      </w:r>
      <w:r w:rsidR="00D544F0">
        <w:t>21.3</w:t>
      </w:r>
      <w:r>
        <w:t>. punktu</w:t>
      </w:r>
      <w:r w:rsidR="00DF1A68">
        <w:t>,</w:t>
      </w:r>
      <w:r>
        <w:t xml:space="preserve"> iepirkuma komisija </w:t>
      </w:r>
      <w:proofErr w:type="gramStart"/>
      <w:r>
        <w:t>2017.gada</w:t>
      </w:r>
      <w:proofErr w:type="gramEnd"/>
      <w:r>
        <w:t xml:space="preserve"> 19.oktobrī pieņēma lēmumu līguma slēgšanas tiesības piešķirt “ERGO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SE Latvijas filiāle”. “ERGO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SE Latvijas filiāle” piedāvājums saskaņā ar nolikuma 20.3. un 20.4. punktā noteikto kārtību atzīts par saimnieciski visizdevīgāko (ieguva visaugstāko punktu skaitu – 85.17 punktus) un atbilst visām nolikumā izvirzītajām prasībām, kā arī attiecībā uz “ERGO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SE Latvijas filiāle”</w:t>
      </w:r>
      <w:r w:rsidR="002B5463">
        <w:t xml:space="preserve"> nav iestājies neviens no PIL </w:t>
      </w:r>
      <w:proofErr w:type="gramStart"/>
      <w:r w:rsidR="002B5463">
        <w:t>9.panta</w:t>
      </w:r>
      <w:proofErr w:type="gramEnd"/>
      <w:r w:rsidR="002B5463">
        <w:t xml:space="preserve"> astotajā daļā minētajiem izslēgšanas nosacījumiem. </w:t>
      </w:r>
    </w:p>
    <w:p w:rsidR="005514A1" w:rsidRDefault="005514A1" w:rsidP="005514A1">
      <w:pPr>
        <w:spacing w:line="360" w:lineRule="auto"/>
        <w:jc w:val="both"/>
      </w:pPr>
    </w:p>
    <w:p w:rsidR="005A0CB2" w:rsidRPr="00916A7B" w:rsidRDefault="005A0CB2" w:rsidP="00E15BF8">
      <w:pPr>
        <w:pStyle w:val="ListParagraph"/>
        <w:spacing w:line="360" w:lineRule="auto"/>
        <w:ind w:left="1080"/>
        <w:jc w:val="both"/>
      </w:pPr>
    </w:p>
    <w:p w:rsidR="008275F6" w:rsidRDefault="005B06A4" w:rsidP="008275F6">
      <w:pPr>
        <w:pStyle w:val="BodyText"/>
        <w:tabs>
          <w:tab w:val="left" w:pos="6300"/>
        </w:tabs>
        <w:rPr>
          <w:bCs/>
          <w:szCs w:val="24"/>
        </w:rPr>
      </w:pPr>
      <w:r w:rsidRPr="00DA0482">
        <w:t xml:space="preserve"> </w:t>
      </w:r>
      <w:r w:rsidR="008275F6">
        <w:rPr>
          <w:bCs/>
          <w:szCs w:val="24"/>
        </w:rPr>
        <w:t>Komisijas priekšsēdētājs</w:t>
      </w:r>
      <w:r w:rsidR="008275F6" w:rsidRPr="008A45DA">
        <w:rPr>
          <w:bCs/>
          <w:szCs w:val="24"/>
        </w:rPr>
        <w:tab/>
      </w:r>
      <w:r w:rsidR="008275F6">
        <w:rPr>
          <w:bCs/>
          <w:szCs w:val="24"/>
        </w:rPr>
        <w:t>K.Godiņš</w:t>
      </w:r>
    </w:p>
    <w:p w:rsidR="008275F6" w:rsidRPr="008A45DA" w:rsidRDefault="008275F6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</w:p>
    <w:p w:rsidR="008275F6" w:rsidRDefault="008275F6" w:rsidP="00380653">
      <w:pPr>
        <w:pStyle w:val="BodyText"/>
        <w:tabs>
          <w:tab w:val="left" w:pos="6300"/>
        </w:tabs>
        <w:rPr>
          <w:bCs/>
          <w:szCs w:val="24"/>
        </w:rPr>
      </w:pPr>
      <w:r w:rsidRPr="008A45DA">
        <w:rPr>
          <w:bCs/>
          <w:szCs w:val="24"/>
        </w:rPr>
        <w:t>Komisijas locekļi</w:t>
      </w:r>
      <w:r w:rsidRPr="008A45DA">
        <w:rPr>
          <w:bCs/>
          <w:szCs w:val="24"/>
        </w:rPr>
        <w:tab/>
      </w:r>
      <w:bookmarkStart w:id="0" w:name="_GoBack"/>
      <w:bookmarkEnd w:id="0"/>
    </w:p>
    <w:p w:rsidR="008275F6" w:rsidRDefault="008275F6" w:rsidP="008275F6">
      <w:pPr>
        <w:pStyle w:val="BodyText"/>
        <w:tabs>
          <w:tab w:val="left" w:pos="6300"/>
        </w:tabs>
        <w:ind w:left="720"/>
        <w:rPr>
          <w:bCs/>
          <w:szCs w:val="24"/>
        </w:rPr>
      </w:pPr>
      <w:r>
        <w:rPr>
          <w:bCs/>
          <w:szCs w:val="24"/>
        </w:rPr>
        <w:tab/>
        <w:t>M.Vaics</w:t>
      </w:r>
    </w:p>
    <w:p w:rsidR="008275F6" w:rsidRDefault="008275F6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</w:p>
    <w:p w:rsidR="008275F6" w:rsidRPr="008A45DA" w:rsidRDefault="008275F6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  <w:r>
        <w:rPr>
          <w:bCs/>
          <w:szCs w:val="24"/>
        </w:rPr>
        <w:tab/>
      </w:r>
      <w:r w:rsidRPr="008A45DA">
        <w:rPr>
          <w:bCs/>
          <w:szCs w:val="24"/>
        </w:rPr>
        <w:t>I.Brice</w:t>
      </w:r>
    </w:p>
    <w:p w:rsidR="008275F6" w:rsidRPr="008A45DA" w:rsidRDefault="008275F6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</w:p>
    <w:p w:rsidR="008275F6" w:rsidRPr="008A45DA" w:rsidRDefault="008275F6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  <w:r w:rsidRPr="008A45DA">
        <w:rPr>
          <w:bCs/>
          <w:szCs w:val="24"/>
        </w:rPr>
        <w:tab/>
        <w:t>A.Balodis</w:t>
      </w:r>
    </w:p>
    <w:p w:rsidR="008275F6" w:rsidRPr="008A45DA" w:rsidRDefault="008275F6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</w:p>
    <w:p w:rsidR="008275F6" w:rsidRPr="008A45DA" w:rsidRDefault="008275F6" w:rsidP="008275F6">
      <w:pPr>
        <w:pStyle w:val="BodyText"/>
        <w:tabs>
          <w:tab w:val="left" w:pos="6300"/>
        </w:tabs>
        <w:ind w:left="1080"/>
        <w:rPr>
          <w:bCs/>
          <w:szCs w:val="24"/>
        </w:rPr>
      </w:pPr>
      <w:r>
        <w:rPr>
          <w:bCs/>
          <w:szCs w:val="24"/>
        </w:rPr>
        <w:tab/>
        <w:t>S. Mince</w:t>
      </w:r>
    </w:p>
    <w:p w:rsidR="00D0687C" w:rsidRPr="00DA0482" w:rsidRDefault="00D0687C" w:rsidP="00160B1D">
      <w:pPr>
        <w:spacing w:line="360" w:lineRule="auto"/>
        <w:jc w:val="both"/>
        <w:rPr>
          <w:bCs/>
        </w:rPr>
      </w:pPr>
    </w:p>
    <w:p w:rsidR="0092621F" w:rsidRPr="00DA0482" w:rsidRDefault="0092621F"/>
    <w:sectPr w:rsidR="0092621F" w:rsidRPr="00DA0482" w:rsidSect="00900D3A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A11" w:rsidRDefault="00E77A11" w:rsidP="00900D3A">
      <w:r>
        <w:separator/>
      </w:r>
    </w:p>
  </w:endnote>
  <w:endnote w:type="continuationSeparator" w:id="0">
    <w:p w:rsidR="00E77A11" w:rsidRDefault="00E77A11" w:rsidP="0090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A11" w:rsidRDefault="00E77A11" w:rsidP="00900D3A">
      <w:r>
        <w:separator/>
      </w:r>
    </w:p>
  </w:footnote>
  <w:footnote w:type="continuationSeparator" w:id="0">
    <w:p w:rsidR="00E77A11" w:rsidRDefault="00E77A11" w:rsidP="0090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D3A" w:rsidRPr="00900D3A" w:rsidRDefault="00900D3A" w:rsidP="00900D3A">
    <w:pPr>
      <w:pStyle w:val="Header"/>
      <w:jc w:val="center"/>
      <w:rPr>
        <w:sz w:val="20"/>
        <w:szCs w:val="20"/>
      </w:rPr>
    </w:pPr>
    <w:r w:rsidRPr="00900D3A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7F19"/>
    <w:multiLevelType w:val="hybridMultilevel"/>
    <w:tmpl w:val="A0D800BE"/>
    <w:lvl w:ilvl="0" w:tplc="C8C82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D5510D"/>
    <w:multiLevelType w:val="hybridMultilevel"/>
    <w:tmpl w:val="78AE2E3A"/>
    <w:lvl w:ilvl="0" w:tplc="B55AE8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4CF7"/>
    <w:multiLevelType w:val="hybridMultilevel"/>
    <w:tmpl w:val="224642A8"/>
    <w:lvl w:ilvl="0" w:tplc="F5B4B1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BF3DCD"/>
    <w:multiLevelType w:val="hybridMultilevel"/>
    <w:tmpl w:val="CF9083D2"/>
    <w:lvl w:ilvl="0" w:tplc="C290A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C307D"/>
    <w:multiLevelType w:val="hybridMultilevel"/>
    <w:tmpl w:val="04E6511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A3EE8"/>
    <w:multiLevelType w:val="hybridMultilevel"/>
    <w:tmpl w:val="44561C4C"/>
    <w:lvl w:ilvl="0" w:tplc="C0226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B6195"/>
    <w:multiLevelType w:val="hybridMultilevel"/>
    <w:tmpl w:val="956028E6"/>
    <w:lvl w:ilvl="0" w:tplc="CA4C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766111"/>
    <w:multiLevelType w:val="hybridMultilevel"/>
    <w:tmpl w:val="1A7EBC30"/>
    <w:lvl w:ilvl="0" w:tplc="BD64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E62E79"/>
    <w:multiLevelType w:val="hybridMultilevel"/>
    <w:tmpl w:val="5D4483A2"/>
    <w:lvl w:ilvl="0" w:tplc="AFFE4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B72F2A"/>
    <w:multiLevelType w:val="hybridMultilevel"/>
    <w:tmpl w:val="E0C69B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6715"/>
    <w:multiLevelType w:val="hybridMultilevel"/>
    <w:tmpl w:val="31866648"/>
    <w:lvl w:ilvl="0" w:tplc="728E4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E411B"/>
    <w:multiLevelType w:val="hybridMultilevel"/>
    <w:tmpl w:val="6A14EB1A"/>
    <w:lvl w:ilvl="0" w:tplc="B658C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F675C0"/>
    <w:multiLevelType w:val="hybridMultilevel"/>
    <w:tmpl w:val="FC1EBEF8"/>
    <w:lvl w:ilvl="0" w:tplc="4370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2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7C"/>
    <w:rsid w:val="000125FB"/>
    <w:rsid w:val="00044365"/>
    <w:rsid w:val="00052927"/>
    <w:rsid w:val="00076434"/>
    <w:rsid w:val="000A7111"/>
    <w:rsid w:val="000A71EA"/>
    <w:rsid w:val="000D7263"/>
    <w:rsid w:val="000E3D8C"/>
    <w:rsid w:val="000F701D"/>
    <w:rsid w:val="00100AC0"/>
    <w:rsid w:val="001127B8"/>
    <w:rsid w:val="001142C7"/>
    <w:rsid w:val="00123A04"/>
    <w:rsid w:val="001251A1"/>
    <w:rsid w:val="00137417"/>
    <w:rsid w:val="001429EF"/>
    <w:rsid w:val="001431F9"/>
    <w:rsid w:val="00160B1D"/>
    <w:rsid w:val="00165334"/>
    <w:rsid w:val="001B1E54"/>
    <w:rsid w:val="001D5408"/>
    <w:rsid w:val="002220FC"/>
    <w:rsid w:val="00237014"/>
    <w:rsid w:val="002435B4"/>
    <w:rsid w:val="00246A56"/>
    <w:rsid w:val="00257D76"/>
    <w:rsid w:val="00270C62"/>
    <w:rsid w:val="002A5EE1"/>
    <w:rsid w:val="002B5463"/>
    <w:rsid w:val="002C20C3"/>
    <w:rsid w:val="002E0F04"/>
    <w:rsid w:val="002F3CB7"/>
    <w:rsid w:val="00331887"/>
    <w:rsid w:val="00335854"/>
    <w:rsid w:val="00344393"/>
    <w:rsid w:val="00346D32"/>
    <w:rsid w:val="003478C7"/>
    <w:rsid w:val="00350202"/>
    <w:rsid w:val="003515FE"/>
    <w:rsid w:val="0035793A"/>
    <w:rsid w:val="003625F5"/>
    <w:rsid w:val="00364997"/>
    <w:rsid w:val="00380653"/>
    <w:rsid w:val="00385033"/>
    <w:rsid w:val="0039088D"/>
    <w:rsid w:val="003E530F"/>
    <w:rsid w:val="00401993"/>
    <w:rsid w:val="0040379C"/>
    <w:rsid w:val="00412D2B"/>
    <w:rsid w:val="00415B39"/>
    <w:rsid w:val="00437BF4"/>
    <w:rsid w:val="00445AB9"/>
    <w:rsid w:val="00445CD8"/>
    <w:rsid w:val="00453539"/>
    <w:rsid w:val="00467038"/>
    <w:rsid w:val="00481F20"/>
    <w:rsid w:val="004835FA"/>
    <w:rsid w:val="00483CC6"/>
    <w:rsid w:val="004979D7"/>
    <w:rsid w:val="004D6942"/>
    <w:rsid w:val="004E03EA"/>
    <w:rsid w:val="004E148C"/>
    <w:rsid w:val="004F7C73"/>
    <w:rsid w:val="005037DA"/>
    <w:rsid w:val="00514027"/>
    <w:rsid w:val="00517CB7"/>
    <w:rsid w:val="00523EED"/>
    <w:rsid w:val="005255C1"/>
    <w:rsid w:val="00536C52"/>
    <w:rsid w:val="00546388"/>
    <w:rsid w:val="005514A1"/>
    <w:rsid w:val="005A0CB2"/>
    <w:rsid w:val="005B06A4"/>
    <w:rsid w:val="005C70FF"/>
    <w:rsid w:val="005E2CF4"/>
    <w:rsid w:val="005E3BA1"/>
    <w:rsid w:val="00623637"/>
    <w:rsid w:val="00633A87"/>
    <w:rsid w:val="00636C85"/>
    <w:rsid w:val="00647B7E"/>
    <w:rsid w:val="0065201E"/>
    <w:rsid w:val="0065629F"/>
    <w:rsid w:val="006573A7"/>
    <w:rsid w:val="00695D44"/>
    <w:rsid w:val="006B34A3"/>
    <w:rsid w:val="006B7988"/>
    <w:rsid w:val="006C3328"/>
    <w:rsid w:val="006D109F"/>
    <w:rsid w:val="006D1403"/>
    <w:rsid w:val="006D7885"/>
    <w:rsid w:val="006E3169"/>
    <w:rsid w:val="006F2E26"/>
    <w:rsid w:val="006F66F8"/>
    <w:rsid w:val="006F72AF"/>
    <w:rsid w:val="00704D5C"/>
    <w:rsid w:val="00706ABD"/>
    <w:rsid w:val="007076DB"/>
    <w:rsid w:val="00711ED5"/>
    <w:rsid w:val="00714FAA"/>
    <w:rsid w:val="00734FA2"/>
    <w:rsid w:val="00736FF9"/>
    <w:rsid w:val="00745FB7"/>
    <w:rsid w:val="00765605"/>
    <w:rsid w:val="0078535E"/>
    <w:rsid w:val="00785411"/>
    <w:rsid w:val="00786287"/>
    <w:rsid w:val="007A3379"/>
    <w:rsid w:val="007A3456"/>
    <w:rsid w:val="007B1C6D"/>
    <w:rsid w:val="007B3D65"/>
    <w:rsid w:val="007E6DF5"/>
    <w:rsid w:val="007E7B4E"/>
    <w:rsid w:val="007F41F7"/>
    <w:rsid w:val="0081613A"/>
    <w:rsid w:val="0081793A"/>
    <w:rsid w:val="008230AA"/>
    <w:rsid w:val="008275F6"/>
    <w:rsid w:val="008421B4"/>
    <w:rsid w:val="00861693"/>
    <w:rsid w:val="00877A92"/>
    <w:rsid w:val="008B4C77"/>
    <w:rsid w:val="00900D3A"/>
    <w:rsid w:val="00916A7B"/>
    <w:rsid w:val="009244EA"/>
    <w:rsid w:val="0092621F"/>
    <w:rsid w:val="0094553E"/>
    <w:rsid w:val="00966B62"/>
    <w:rsid w:val="00966DD6"/>
    <w:rsid w:val="00996500"/>
    <w:rsid w:val="009B0D0C"/>
    <w:rsid w:val="009C3D10"/>
    <w:rsid w:val="009C5902"/>
    <w:rsid w:val="009C6F14"/>
    <w:rsid w:val="009D6293"/>
    <w:rsid w:val="009D6DA3"/>
    <w:rsid w:val="009E650B"/>
    <w:rsid w:val="009F4E83"/>
    <w:rsid w:val="009F71B7"/>
    <w:rsid w:val="00A012F5"/>
    <w:rsid w:val="00A06E2E"/>
    <w:rsid w:val="00A24E90"/>
    <w:rsid w:val="00A25154"/>
    <w:rsid w:val="00A264BF"/>
    <w:rsid w:val="00A37448"/>
    <w:rsid w:val="00A4066C"/>
    <w:rsid w:val="00A415A2"/>
    <w:rsid w:val="00A43DD7"/>
    <w:rsid w:val="00A64021"/>
    <w:rsid w:val="00A8627F"/>
    <w:rsid w:val="00A95A34"/>
    <w:rsid w:val="00AA2F7C"/>
    <w:rsid w:val="00AB2917"/>
    <w:rsid w:val="00AC041F"/>
    <w:rsid w:val="00AC0C6D"/>
    <w:rsid w:val="00AC0CA2"/>
    <w:rsid w:val="00AD2002"/>
    <w:rsid w:val="00B03EF1"/>
    <w:rsid w:val="00B117CD"/>
    <w:rsid w:val="00B32E6A"/>
    <w:rsid w:val="00B4424A"/>
    <w:rsid w:val="00B46477"/>
    <w:rsid w:val="00B53590"/>
    <w:rsid w:val="00B619BB"/>
    <w:rsid w:val="00B73450"/>
    <w:rsid w:val="00B811A8"/>
    <w:rsid w:val="00BA436E"/>
    <w:rsid w:val="00BA4380"/>
    <w:rsid w:val="00BC67B3"/>
    <w:rsid w:val="00BE5F1D"/>
    <w:rsid w:val="00BE60C2"/>
    <w:rsid w:val="00BF2874"/>
    <w:rsid w:val="00BF2F57"/>
    <w:rsid w:val="00C1428E"/>
    <w:rsid w:val="00C20643"/>
    <w:rsid w:val="00C40D28"/>
    <w:rsid w:val="00C44592"/>
    <w:rsid w:val="00C47B46"/>
    <w:rsid w:val="00C561CC"/>
    <w:rsid w:val="00C60A32"/>
    <w:rsid w:val="00C66DC8"/>
    <w:rsid w:val="00C74268"/>
    <w:rsid w:val="00C800D5"/>
    <w:rsid w:val="00C8352A"/>
    <w:rsid w:val="00C92915"/>
    <w:rsid w:val="00CA1372"/>
    <w:rsid w:val="00CC2D96"/>
    <w:rsid w:val="00CC7703"/>
    <w:rsid w:val="00CD64AD"/>
    <w:rsid w:val="00CE7D76"/>
    <w:rsid w:val="00D0687C"/>
    <w:rsid w:val="00D1606D"/>
    <w:rsid w:val="00D40E24"/>
    <w:rsid w:val="00D544F0"/>
    <w:rsid w:val="00D553D2"/>
    <w:rsid w:val="00D66D8C"/>
    <w:rsid w:val="00D75517"/>
    <w:rsid w:val="00D8062D"/>
    <w:rsid w:val="00D87D76"/>
    <w:rsid w:val="00D87FCD"/>
    <w:rsid w:val="00DA0482"/>
    <w:rsid w:val="00DA1C5C"/>
    <w:rsid w:val="00DA3292"/>
    <w:rsid w:val="00DC1829"/>
    <w:rsid w:val="00DC39D2"/>
    <w:rsid w:val="00DE6E9D"/>
    <w:rsid w:val="00DF1A68"/>
    <w:rsid w:val="00DF3E81"/>
    <w:rsid w:val="00E01410"/>
    <w:rsid w:val="00E04E7D"/>
    <w:rsid w:val="00E06A5A"/>
    <w:rsid w:val="00E15BF8"/>
    <w:rsid w:val="00E16EF1"/>
    <w:rsid w:val="00E31279"/>
    <w:rsid w:val="00E37640"/>
    <w:rsid w:val="00E77A11"/>
    <w:rsid w:val="00E77BED"/>
    <w:rsid w:val="00EA2002"/>
    <w:rsid w:val="00EC05FE"/>
    <w:rsid w:val="00ED62A5"/>
    <w:rsid w:val="00EF038C"/>
    <w:rsid w:val="00EF1355"/>
    <w:rsid w:val="00F11DD2"/>
    <w:rsid w:val="00F3628C"/>
    <w:rsid w:val="00F52388"/>
    <w:rsid w:val="00F54E8D"/>
    <w:rsid w:val="00F60AAC"/>
    <w:rsid w:val="00F66D01"/>
    <w:rsid w:val="00F809DE"/>
    <w:rsid w:val="00F83D3E"/>
    <w:rsid w:val="00F83E58"/>
    <w:rsid w:val="00F92B51"/>
    <w:rsid w:val="00F96B03"/>
    <w:rsid w:val="00FB5140"/>
    <w:rsid w:val="00FC2A4D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90F27"/>
  <w15:docId w15:val="{E57FD127-2455-4895-BA82-9974DDD5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706AB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0687C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0687C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uiPriority w:val="99"/>
    <w:rsid w:val="00D0687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61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D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D3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900D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3A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AC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706ABD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6AB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6ABD"/>
    <w:rPr>
      <w:rFonts w:ascii="Calibri" w:hAnsi="Calibri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F0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F1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A6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A6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1C96-2EAD-486C-8CC8-546C3A95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Grantiņa</dc:creator>
  <cp:lastModifiedBy>Rita Grantiņa</cp:lastModifiedBy>
  <cp:revision>10</cp:revision>
  <cp:lastPrinted>2017-10-23T11:52:00Z</cp:lastPrinted>
  <dcterms:created xsi:type="dcterms:W3CDTF">2017-10-23T07:22:00Z</dcterms:created>
  <dcterms:modified xsi:type="dcterms:W3CDTF">2017-10-23T11:52:00Z</dcterms:modified>
</cp:coreProperties>
</file>